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ОБГРУНТУВАННЯ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br/>
        <w:t>технічних та якісних характеристик,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br/>
        <w:t>очікуваної вартості та/або бюджетного призначення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br/>
        <w:t>предмета закупівлі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від 11 жовтня 2016р. №710».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Предмет закупівлі 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«Дрова паливні колоті (твердої породи, хвойної породи)»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 за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ко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дом 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ДК 021:2015: 03410000-7Деревина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 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на 2023 рік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;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Ідентифікатор закупівлі: 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UA-2023-06-27-012165-a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;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Відкриті торги з особливостями;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Очікувана вартість закупівлі: 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213000,00 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грн. (Триста шістдесят тисяч гривень 00 коп.), в т.ч. ПДВ;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Кошти державного бюджету.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КЕКВ 2275;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Кількість – 38,5 м³ – дрова колоті твердої породи I групи; 80 м³ – дрова колоті хвойної породи ІІ групи;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Строк поставки </w:t>
      </w: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– д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о 31 грудня 2023 року;</w:t>
      </w:r>
    </w:p>
    <w:p w:rsidR="003A6BD1" w:rsidRPr="003A6BD1" w:rsidRDefault="003A6BD1" w:rsidP="003A6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Дрова паливні колоті (твердої породи, хвойної породи) повинні відповідати наступним вимогам: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Довжина – до 60 см., діаметр – від 8 см до 30 см, вологість – природна. Дрова повинні бути без гнилі та не трухляві. Деревина повинна бути очищена від сучків. Висота сучків, що залишилися, не може перевищувати 30 мм. Деревина може бути як в корі так і без неї, допускається наявність кори не більше 5% на 1 м. куб. Деревина повинна відповідати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ГОСТу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3243-88 та ТУУ-00994207-005:2018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Умови поставки товару: 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Постачальник забезпечує навантаження, поставку та розвантаження товару власним транспортом за адресою Замовника: Львівська обл., Самбірський р-н.,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смт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.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Бориня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, вул. В. Стуса, 27 – в замовленій кількості та асортименті відповідно до потреби Замовника.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lastRenderedPageBreak/>
        <w:t>Учасник надає та включає в ціну товару вантажно-розвантажувальні послуги при поставці товару.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Вартість постачання товару враховується до вартості товару та є його невід’ємною частиною, про що надається гарантійний лист.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При поставці товару повинні надаватися супровідні документи. При прийомі товару, обсяг  товару має  відповідати обсягу, який зазначений у супровідних документах.  Приймання Товару за кількістю і якістю здійснюється представником замовника.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 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Обґрунтування: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Загальна кількість необхідного до закупівель обсягу дров сформована виходячи із їх обсягів використання замовника за 2022 рік.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Очікувана вартість передбачена кошторисом та річним планом закупівель на 2023 рік,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грунтується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</w:p>
    <w:p w:rsidR="003A6BD1" w:rsidRPr="003A6BD1" w:rsidRDefault="003A6BD1" w:rsidP="003A6BD1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Розрахунок очікуваної вартості предмету закупівлі з урахуванням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роз’ясненння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середньоринкових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цін на деревину, актуальних на момент моніторингу. Замовником здійснювався пошук, збір та аналіз загальнодоступної цінової інформації про ціни товарів, що міститься в мережі Інтернет у відкритому доступі на сайтах постачальників, в </w:t>
      </w:r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lastRenderedPageBreak/>
        <w:t>електронному каталозі, в електронній системі закупівель «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ProZorro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» щодо </w:t>
      </w:r>
      <w:proofErr w:type="spellStart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анологічних</w:t>
      </w:r>
      <w:proofErr w:type="spellEnd"/>
      <w:r w:rsidRPr="003A6BD1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закупівель.</w:t>
      </w:r>
    </w:p>
    <w:p w:rsidR="00EE2410" w:rsidRDefault="00EE2410">
      <w:bookmarkStart w:id="0" w:name="_GoBack"/>
      <w:bookmarkEnd w:id="0"/>
    </w:p>
    <w:sectPr w:rsidR="00EE2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607"/>
    <w:multiLevelType w:val="multilevel"/>
    <w:tmpl w:val="785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6"/>
    <w:rsid w:val="003A6BD1"/>
    <w:rsid w:val="00707767"/>
    <w:rsid w:val="007573B6"/>
    <w:rsid w:val="00E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6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6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2039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Земан</dc:creator>
  <cp:keywords/>
  <dc:description/>
  <cp:lastModifiedBy>Віталій Земан</cp:lastModifiedBy>
  <cp:revision>2</cp:revision>
  <dcterms:created xsi:type="dcterms:W3CDTF">2023-08-29T11:34:00Z</dcterms:created>
  <dcterms:modified xsi:type="dcterms:W3CDTF">2023-08-29T11:34:00Z</dcterms:modified>
</cp:coreProperties>
</file>